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596" w:rsidRDefault="001B1596" w:rsidP="001B15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E79" w:themeColor="accent1" w:themeShade="80"/>
          <w:sz w:val="32"/>
          <w:szCs w:val="32"/>
        </w:rPr>
      </w:pPr>
      <w:r w:rsidRPr="001B1596">
        <w:rPr>
          <w:rFonts w:ascii="Times New Roman" w:hAnsi="Times New Roman" w:cs="Times New Roman"/>
          <w:b/>
          <w:color w:val="1F4E79" w:themeColor="accent1" w:themeShade="80"/>
          <w:sz w:val="32"/>
          <w:szCs w:val="32"/>
        </w:rPr>
        <w:t>Консультация для родителей «Создание эффективной предметно-развивающей среды в домашних условиях»</w:t>
      </w:r>
    </w:p>
    <w:p w:rsidR="001B1596" w:rsidRPr="001B1596" w:rsidRDefault="001B1596" w:rsidP="001B15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E79" w:themeColor="accent1" w:themeShade="80"/>
          <w:sz w:val="32"/>
          <w:szCs w:val="32"/>
        </w:rPr>
      </w:pPr>
      <w:bookmarkStart w:id="0" w:name="_GoBack"/>
      <w:bookmarkEnd w:id="0"/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Для всестороннего развития ребенка в домашних условиях организуются несколько предметно-развивающих «сред»: для речевого, математического, эстетического, физического развития или же одна, но многофункциональная среда. Принципы построения каждой из таких сред: дистанции, позиции при взаимодействии; активности, самостоятельности, творчества; стабильности-динамичности; комплексирования и гибкого зонирования;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эмоциогенности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 среды, индивидуальной комфортности и эмоционального благополучия каждого ребенка и взрослого; сочетания привычных и неординарных элементов в эстетической организации среды; открытости-закрытости; учета половых и возрастных различий детей.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В ходе ее организации особое внимание следует обратить на расположение объектов в комнате. Ее пространство надо оформить таким образом, чтобы ребенок и другие дети могли свободно перемещаться, играть с игрушками, отдыхать. Это пространство активно используется для совместной деятельности ребенка и взрослых, для проведения специальных и комплексных занятий по разностороннему развитию.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Речевая предметно-развивающая среда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Опыт подсказывает, что для таких занятий необходимо свободное место, достаточное для смены положения ребенка: занятий сидя на полу или на ковре, движений в различных направлениях в ходе сюжетных подвижных игр, занятий за столами и т. п. Основное пространство в игровой комнате занимает мягкое покрытие, на котором размещаются мягкая мебель и мягкие модули, из которых конструируются игровые уголки для создания соответствующей игровой и коммуникативной ситуации, в процессе которых происходит развитие связной и образной речи. С этими же целями содержание кукольного уголка соответствует ситуациям различных сюжетно-дидактических игр, которые организует взрослый. Так, взрослый развертывает сюжетно-ролевую игру - на этом же материале проводится обучение сюжетно-дидактической игре. Сюжетно-дидактическая игра предлагается после того, как ребенок освоит сюжетно-ролевую, а игровые действия станут для него понятными и доступными. Оборудование для сюжетно-дидактических игр может храниться в доступных для ребенка местах: на специальных стеллажах, в ящиках, коробках с характерными символическими изображениями или в прозрачных саше на стенах комнаты. Это могут быть игры «Магазин игрушек», «Овощной магазин», «Веселый зоосад», «Аптека», «Почта», «Магазин школьных принадлежностей», «День рождения куклы»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Кроме того, при работе с детьми младшего и среднего дошкольного возраста рекомендуется обращать большее внимание на дидактические материалы и пособия, связанные с развитием лексической стороны речи, формированием словаря и слоговой структуры речи.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Для этого используются комплекты: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игрушек (дидактические, образные, наборы игрушек),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- предметных картинок и открыток по основным лексическим темам («Грибы», «Лекарственные растения» «Друзья детей», «Кто это?», «Домашние птицы», «Дикие </w:t>
      </w: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lastRenderedPageBreak/>
        <w:t>животные», «Зверюшки-музыканты», «Звери наших лесов», «Зима на носу», «В мире животных», «Животные Севера», «Птицы вокруг нас», «Птичьи следы» и др.),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различного типа лото («Домашние животные и птицы», «Дикие животные», «Ботаническое лото», «Зоологическое лото», «Веселое лото», «Лото на 4-х языках», «Звуковое лото» и др.),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альбом О. С. Соловьёвой (“Говори правильно”), картины для упражнения детей в правильном звукопроизношении и т. д.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При этом взрослый должен освоить приемы, связанные с их обыгрыванием. Например, можно воспользоваться методикой Э. Ф.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Замбицявичене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, которая опирается на использование принципов смысловой группировки воспринимаемого материала. Она включает 4 группы заданий: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обучение дифференциации существенных признаков предметов и явлений от несущественных, а также увеличение запаса знаний.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Ребенок должен выбрать правильный ответ из предложенных, чтобы закончить фразу: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«У сапога всегда есть ...» (шнурок, пряжка, подошва, ремешки, пуговица);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«В теплых краях обитает ...» (медведь, олень, волк, верблюд, тюлень);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«В году ...» (24, 3, 12, 4, 7 месяцев)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формирование операций обобщения и отвлечения, способности выделить существенные признаки предметов и явлений.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Требуется объединить в одну группу и назвать для нее обобщающее слово, исключив лишнее понятие: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тюльпан, лилия, фасоль, ромашка, фиалка;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река, озеро, море, мост, болото;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кукла, медвежонок, песок, мяч, лопата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развитие способности устанавливать логические связи и отношения между понятиями.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Ребенок должен по аналогии с образцом подобрать пару к предложенному слову. </w:t>
      </w:r>
      <w:proofErr w:type="gram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Например</w:t>
      </w:r>
      <w:proofErr w:type="gram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: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огурец - овощ, георгин - ... (сорняк, роса, садик, цветок, земля);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учитель - ученик, врач - ... (кочки, больные, палата, больной, термометр);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огород - морковь, сад - ... (забор, яблоня, колодец, скамейка, цветы)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формирование умения обобщать.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Требуется назвать обобщающее слово к каждой паре понятий. Например,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метла, лопата - ...;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окунь, карась - ...;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- лето, зима - ...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Выполняя такие задания, ребенок может выкладывать карточки с ответами, выстраивая таким образом дорогу через лес, горы, моря, поля и т. </w:t>
      </w:r>
      <w:proofErr w:type="gram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д. ,</w:t>
      </w:r>
      <w:proofErr w:type="gram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 что в дальнейшем можно будет обыграть с помощью мелких сюжетных игрушек и машинок. При этом можно использовать игры, направленные на формирование грамматических и синтаксических умений и навыков детей. Например, сюда могут входить такие известные дидактические игры, как «Кто где живет?», «Чьи следы?», «Кому что надо?», «Страны света», «Кем я буду?», «У кого какая профессия?», «Домики сказки», «Сказки-загадки»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В комнате также организуются уголки для театрализованных игр. В них отводится место для режиссерских игр с пальчиковым театром, театра на рукавичках, театра шариков и кубиков, настольного театра, стендового театра, костюмов для игр-драматизаций. Для театрализованных игр подбираются различные куклы-бибабо, режиссерские куклы, плоскостные изображения кукол, деревьев, речки и т. п. Для разыгрывания сказки или игровой ситуации на плоскости используется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ковролинограф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 или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фланелеграф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. Такого рода игры влияют не только на формирование грамматического и лексического строя речи, но и на воспитание звуковой культуры речи, развития ее мелодико-интонационной стороны.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В дополнение к ним необходимо предусмотреть как при работе с детьми младшего, так и старшего дошкольного возраста дидактические игры и пособия, направленные на формирование умений составлять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Рассказ с опорой на серию картин (2 - 3),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Рассказ по серии сюжетных картин (4),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Рассказ по сюжетной картине.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Для этого нужно завести уголок Книги, в котором будут храниться не только детские книги и хрестоматии произведений детской литературы, но и серии картинок для пересказов и составления рассказов.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При работе с детьми старшего дошкольного возраста особое внимание обращается, кроме того, на наличие пособий и демонстрационных материалов по подготовке детей к обучению грамоте. Это могут быть: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Классная подвижная азбука.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Азбука в картинках.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Дидактическая игра «Буква за буквой»,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Дидактическая игра «33 богатыря»,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Дидактическая игра «Умный телефон»,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Таблицы по обучению грамоте с рисунками.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Звуковые линейки.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Комплект наглядных пособий “Обучение грамоте” (автор Н. В. Дурова).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Дидактический материал “Ступеньки грамоты” (авторы Н. В. Дурова, Л. Н. Невская).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Наглядно-дидактическое пособие для детского сада “Звучащее слово” (автор Г. А.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Тумакова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) и др.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lastRenderedPageBreak/>
        <w:t xml:space="preserve">Дидактический материал М.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Монтессори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, Н. Зайцева (кубики по обучению русскому и английскому языку), Г. Л.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Выгодской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 («Град </w:t>
      </w:r>
      <w:proofErr w:type="spellStart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Златоустия</w:t>
      </w:r>
      <w:proofErr w:type="spellEnd"/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»),</w:t>
      </w:r>
    </w:p>
    <w:p w:rsidR="001B1596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Компьютерные программы по развитию речи и обучению грамоте детей дошкольного возраста и др.</w:t>
      </w:r>
    </w:p>
    <w:p w:rsidR="00265387" w:rsidRPr="001B1596" w:rsidRDefault="001B1596" w:rsidP="001B1596">
      <w:pPr>
        <w:spacing w:after="0" w:line="240" w:lineRule="auto"/>
        <w:ind w:firstLine="709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1B1596">
        <w:rPr>
          <w:rFonts w:ascii="Times New Roman" w:hAnsi="Times New Roman" w:cs="Times New Roman"/>
          <w:color w:val="4472C4" w:themeColor="accent5"/>
          <w:sz w:val="24"/>
          <w:szCs w:val="24"/>
        </w:rPr>
        <w:t>Источник: https://doshvozrast.ru/rabrod/konsultacrod62.htm</w:t>
      </w:r>
    </w:p>
    <w:sectPr w:rsidR="00265387" w:rsidRPr="001B1596" w:rsidSect="001B1596">
      <w:pgSz w:w="11906" w:h="16838"/>
      <w:pgMar w:top="1134" w:right="850" w:bottom="1134" w:left="1701" w:header="708" w:footer="708" w:gutter="0"/>
      <w:pgBorders w:offsetFrom="page">
        <w:top w:val="thinThickThinMediumGap" w:sz="24" w:space="24" w:color="CC0066"/>
        <w:left w:val="thinThickThinMediumGap" w:sz="24" w:space="24" w:color="CC0066"/>
        <w:bottom w:val="thinThickThinMediumGap" w:sz="24" w:space="24" w:color="CC0066"/>
        <w:right w:val="thinThickThinMediumGap" w:sz="24" w:space="24" w:color="CC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96"/>
    <w:rsid w:val="001B1596"/>
    <w:rsid w:val="0026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5E41B-CDC4-4D2F-836E-43E01837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2022-05-25T08:01:00Z</dcterms:created>
  <dcterms:modified xsi:type="dcterms:W3CDTF">2022-05-25T08:04:00Z</dcterms:modified>
</cp:coreProperties>
</file>